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77175" w14:textId="1CBD288E" w:rsidR="00733E62" w:rsidRPr="00FD7C4F" w:rsidRDefault="0049232E" w:rsidP="00B87730">
      <w:pPr>
        <w:jc w:val="center"/>
        <w:rPr>
          <w:rFonts w:cstheme="minorHAnsi"/>
          <w:b/>
          <w:bCs/>
          <w:color w:val="7030A0"/>
          <w:sz w:val="28"/>
          <w:szCs w:val="28"/>
          <w:u w:val="single"/>
        </w:rPr>
      </w:pPr>
      <w:r>
        <w:rPr>
          <w:rFonts w:cstheme="minorHAnsi"/>
          <w:b/>
          <w:bCs/>
          <w:color w:val="7030A0"/>
          <w:sz w:val="28"/>
          <w:szCs w:val="28"/>
          <w:u w:val="single"/>
        </w:rPr>
        <w:t>Chiari-like malformation (CLM) and Syringomyelia</w:t>
      </w:r>
      <w:r w:rsidR="00602356">
        <w:rPr>
          <w:rFonts w:cstheme="minorHAnsi"/>
          <w:b/>
          <w:bCs/>
          <w:color w:val="7030A0"/>
          <w:sz w:val="28"/>
          <w:szCs w:val="28"/>
          <w:u w:val="single"/>
        </w:rPr>
        <w:t xml:space="preserve"> (SM)</w:t>
      </w:r>
      <w:r w:rsidR="00B87730">
        <w:rPr>
          <w:rFonts w:cstheme="minorHAnsi"/>
          <w:b/>
          <w:bCs/>
          <w:color w:val="7030A0"/>
          <w:sz w:val="28"/>
          <w:szCs w:val="28"/>
          <w:u w:val="single"/>
        </w:rPr>
        <w:t xml:space="preserve"> in dogs</w:t>
      </w:r>
      <w:r w:rsidR="00B97C1E">
        <w:rPr>
          <w:rFonts w:cstheme="minorHAnsi"/>
          <w:b/>
          <w:bCs/>
          <w:color w:val="7030A0"/>
          <w:sz w:val="28"/>
          <w:szCs w:val="28"/>
          <w:u w:val="single"/>
        </w:rPr>
        <w:t>.</w:t>
      </w:r>
    </w:p>
    <w:p w14:paraId="1805D5F2" w14:textId="7D93C456" w:rsidR="00557938" w:rsidRDefault="00557938" w:rsidP="00557938">
      <w:pPr>
        <w:rPr>
          <w:rFonts w:cstheme="minorHAnsi"/>
          <w:b/>
          <w:bCs/>
          <w:color w:val="7030A0"/>
        </w:rPr>
      </w:pPr>
      <w:r w:rsidRPr="000E5A68">
        <w:rPr>
          <w:rFonts w:cstheme="minorHAnsi"/>
          <w:b/>
          <w:bCs/>
          <w:color w:val="7030A0"/>
        </w:rPr>
        <w:t xml:space="preserve">What </w:t>
      </w:r>
      <w:r w:rsidR="00571E96">
        <w:rPr>
          <w:rFonts w:cstheme="minorHAnsi"/>
          <w:b/>
          <w:bCs/>
          <w:color w:val="7030A0"/>
        </w:rPr>
        <w:t xml:space="preserve">is </w:t>
      </w:r>
      <w:r w:rsidR="0049232E" w:rsidRPr="0049232E">
        <w:rPr>
          <w:rFonts w:cstheme="minorHAnsi"/>
          <w:b/>
          <w:bCs/>
          <w:color w:val="7030A0"/>
          <w:szCs w:val="28"/>
        </w:rPr>
        <w:t>Chiari-like malformation and Syringomyelia</w:t>
      </w:r>
      <w:r w:rsidRPr="000E5A68">
        <w:rPr>
          <w:rFonts w:cstheme="minorHAnsi"/>
          <w:b/>
          <w:bCs/>
          <w:color w:val="7030A0"/>
        </w:rPr>
        <w:t>?</w:t>
      </w:r>
    </w:p>
    <w:p w14:paraId="54C61ED7" w14:textId="3B96240A" w:rsidR="00557938" w:rsidRPr="0049232E" w:rsidRDefault="0049232E" w:rsidP="004765BA">
      <w:pPr>
        <w:rPr>
          <w:rFonts w:cstheme="minorHAnsi"/>
          <w:sz w:val="20"/>
          <w:szCs w:val="20"/>
        </w:rPr>
      </w:pPr>
      <w:r w:rsidRPr="0049232E">
        <w:rPr>
          <w:rFonts w:cs="Arial"/>
          <w:sz w:val="20"/>
          <w:szCs w:val="20"/>
        </w:rPr>
        <w:t>Chiari-like malformation is a developmental abnormality characterised by a ‘mismatch’ in the size between the brain and the skull. This mismatch can subsequently cause an alteration in the flow of cerebrospinal fluid (CSF) and lead to a secondary syringomyelia (dilated fluid cavity within the spinal cord). Both conditions are common in brachycephalic breeds, particularly the Cavalier King Charles Spaniel.</w:t>
      </w:r>
    </w:p>
    <w:p w14:paraId="330E3FD4" w14:textId="0962D80F" w:rsidR="00B87730" w:rsidRDefault="00B87730" w:rsidP="00B87730">
      <w:pPr>
        <w:rPr>
          <w:rFonts w:cstheme="minorHAnsi"/>
          <w:b/>
          <w:bCs/>
          <w:color w:val="7030A0"/>
        </w:rPr>
      </w:pPr>
      <w:r>
        <w:rPr>
          <w:rFonts w:cstheme="minorHAnsi"/>
          <w:b/>
          <w:bCs/>
          <w:color w:val="7030A0"/>
        </w:rPr>
        <w:t xml:space="preserve">What are the clinical signs of </w:t>
      </w:r>
      <w:r w:rsidR="00602356" w:rsidRPr="0049232E">
        <w:rPr>
          <w:rFonts w:cstheme="minorHAnsi"/>
          <w:b/>
          <w:bCs/>
          <w:color w:val="7030A0"/>
          <w:szCs w:val="28"/>
        </w:rPr>
        <w:t>Chiari-like malformation and Syringomyelia</w:t>
      </w:r>
      <w:r w:rsidR="00602356">
        <w:rPr>
          <w:rFonts w:cstheme="minorHAnsi"/>
          <w:b/>
          <w:bCs/>
          <w:color w:val="7030A0"/>
        </w:rPr>
        <w:t xml:space="preserve"> </w:t>
      </w:r>
      <w:r>
        <w:rPr>
          <w:rFonts w:cstheme="minorHAnsi"/>
          <w:b/>
          <w:bCs/>
          <w:color w:val="7030A0"/>
        </w:rPr>
        <w:t>in dogs</w:t>
      </w:r>
      <w:r w:rsidRPr="000E5A68">
        <w:rPr>
          <w:rFonts w:cstheme="minorHAnsi"/>
          <w:b/>
          <w:bCs/>
          <w:color w:val="7030A0"/>
        </w:rPr>
        <w:t>?</w:t>
      </w:r>
    </w:p>
    <w:p w14:paraId="710E7714" w14:textId="77777777" w:rsidR="0049232E" w:rsidRPr="0049232E" w:rsidRDefault="0049232E" w:rsidP="00B87730">
      <w:pPr>
        <w:rPr>
          <w:rFonts w:cs="Arial"/>
          <w:sz w:val="20"/>
          <w:szCs w:val="20"/>
        </w:rPr>
      </w:pPr>
      <w:r w:rsidRPr="0049232E">
        <w:rPr>
          <w:rFonts w:cs="Arial"/>
          <w:sz w:val="20"/>
          <w:szCs w:val="20"/>
        </w:rPr>
        <w:t>Clinical signs of Chiari-like malformation and syringomyelia can vary and clinical interpretation of the significance of these conditions is challenging. Signs may include pain, scratching behaviours, reluctance to play/jump, ataxia and paresis. However, it is well documented that syringomyelia can be diagnosed incidentally in apparently clinically normal Cavalier King Charles Spaniels.</w:t>
      </w:r>
    </w:p>
    <w:p w14:paraId="5292DB6C" w14:textId="6902204B" w:rsidR="00B87730" w:rsidRDefault="00B87730" w:rsidP="00B87730">
      <w:pPr>
        <w:rPr>
          <w:rFonts w:cstheme="minorHAnsi"/>
          <w:b/>
          <w:bCs/>
          <w:color w:val="7030A0"/>
        </w:rPr>
      </w:pPr>
      <w:r>
        <w:rPr>
          <w:rFonts w:cstheme="minorHAnsi"/>
          <w:b/>
          <w:bCs/>
          <w:color w:val="7030A0"/>
        </w:rPr>
        <w:t xml:space="preserve">How is </w:t>
      </w:r>
      <w:r w:rsidR="00602356" w:rsidRPr="0049232E">
        <w:rPr>
          <w:rFonts w:cstheme="minorHAnsi"/>
          <w:b/>
          <w:bCs/>
          <w:color w:val="7030A0"/>
          <w:szCs w:val="28"/>
        </w:rPr>
        <w:t>Chiari-like malformation and Syringomyelia</w:t>
      </w:r>
      <w:r w:rsidR="00602356">
        <w:rPr>
          <w:rFonts w:cstheme="minorHAnsi"/>
          <w:b/>
          <w:bCs/>
          <w:color w:val="7030A0"/>
        </w:rPr>
        <w:t xml:space="preserve"> </w:t>
      </w:r>
      <w:r>
        <w:rPr>
          <w:rFonts w:cstheme="minorHAnsi"/>
          <w:b/>
          <w:bCs/>
          <w:color w:val="7030A0"/>
        </w:rPr>
        <w:t>diagnosed</w:t>
      </w:r>
      <w:r w:rsidRPr="000E5A68">
        <w:rPr>
          <w:rFonts w:cstheme="minorHAnsi"/>
          <w:b/>
          <w:bCs/>
          <w:color w:val="7030A0"/>
        </w:rPr>
        <w:t>?</w:t>
      </w:r>
    </w:p>
    <w:p w14:paraId="76C93FF7" w14:textId="074A8069" w:rsidR="002F6ADA" w:rsidRPr="00807A4C" w:rsidRDefault="00C81895" w:rsidP="00C81895">
      <w:pPr>
        <w:rPr>
          <w:rFonts w:cstheme="minorHAnsi"/>
          <w:sz w:val="20"/>
          <w:szCs w:val="20"/>
        </w:rPr>
      </w:pPr>
      <w:r>
        <w:rPr>
          <w:rFonts w:cs="Arial"/>
          <w:sz w:val="20"/>
          <w:szCs w:val="20"/>
        </w:rPr>
        <w:t xml:space="preserve">MRI of the brain and spine was the gold standard for </w:t>
      </w:r>
      <w:r w:rsidR="00602356" w:rsidRPr="0049232E">
        <w:rPr>
          <w:rFonts w:cs="Arial"/>
          <w:sz w:val="20"/>
          <w:szCs w:val="20"/>
        </w:rPr>
        <w:t xml:space="preserve">Chiari-like malformation and syringomyelia </w:t>
      </w:r>
      <w:r>
        <w:rPr>
          <w:rFonts w:cs="Arial"/>
          <w:sz w:val="20"/>
          <w:szCs w:val="20"/>
        </w:rPr>
        <w:t>diagnosis. The MRI permits us to evaluate the shape of the skull, the compression of brain structures and the presence of syringomyelia in the spinal cord as an accumulation of fluid inside the spinal cord. Other common findings in the MRI are ventriculomegaly (dilation of the cerebral ventricles), fluid accumulation in the middle ear (primary secretory otitis media) or other vertebral column congenital malformation.</w:t>
      </w:r>
    </w:p>
    <w:p w14:paraId="0A993475" w14:textId="6B7CCD8A" w:rsidR="00571E96" w:rsidRDefault="00571E96" w:rsidP="00571E96">
      <w:pPr>
        <w:rPr>
          <w:rFonts w:cstheme="minorHAnsi"/>
          <w:b/>
          <w:bCs/>
          <w:color w:val="7030A0"/>
        </w:rPr>
      </w:pPr>
      <w:r w:rsidRPr="000E5A68">
        <w:rPr>
          <w:rFonts w:cstheme="minorHAnsi"/>
          <w:b/>
          <w:bCs/>
          <w:color w:val="7030A0"/>
        </w:rPr>
        <w:t xml:space="preserve">What are the treatment options for </w:t>
      </w:r>
      <w:r w:rsidR="00602356" w:rsidRPr="0049232E">
        <w:rPr>
          <w:rFonts w:cstheme="minorHAnsi"/>
          <w:b/>
          <w:bCs/>
          <w:color w:val="7030A0"/>
          <w:szCs w:val="28"/>
        </w:rPr>
        <w:t>Chiari-like malformation and Syringomyelia</w:t>
      </w:r>
      <w:r w:rsidR="00C664C1">
        <w:rPr>
          <w:rFonts w:cstheme="minorHAnsi"/>
          <w:b/>
          <w:bCs/>
          <w:color w:val="7030A0"/>
        </w:rPr>
        <w:t xml:space="preserve"> in dogs</w:t>
      </w:r>
      <w:r w:rsidRPr="000E5A68">
        <w:rPr>
          <w:rFonts w:cstheme="minorHAnsi"/>
          <w:b/>
          <w:bCs/>
          <w:color w:val="7030A0"/>
        </w:rPr>
        <w:t>?</w:t>
      </w:r>
    </w:p>
    <w:p w14:paraId="4194E083" w14:textId="77777777" w:rsidR="00C81895" w:rsidRPr="00C81895" w:rsidRDefault="00C81895" w:rsidP="00B87730">
      <w:pPr>
        <w:rPr>
          <w:rFonts w:cs="Arial"/>
          <w:sz w:val="20"/>
          <w:szCs w:val="20"/>
        </w:rPr>
      </w:pPr>
      <w:r w:rsidRPr="00C81895">
        <w:rPr>
          <w:rFonts w:cs="Arial"/>
          <w:sz w:val="20"/>
          <w:szCs w:val="20"/>
        </w:rPr>
        <w:t xml:space="preserve">Both surgical and medical management have been described for syringomyelia in dogs. Surgical management aims to restore normal CSF flow or shunt abnormal accumulations of CSF out of the central nervous system. Medical management aims to control signs of neuropathic pain and reduce the CSF volume. In many cases, the condition is progressive, and dogs may therefore require lifelong analgesics. </w:t>
      </w:r>
    </w:p>
    <w:p w14:paraId="58D3C535" w14:textId="700FF08A" w:rsidR="00B87730" w:rsidRDefault="00B87730" w:rsidP="00B87730">
      <w:pPr>
        <w:rPr>
          <w:rFonts w:cstheme="minorHAnsi"/>
          <w:b/>
          <w:bCs/>
          <w:color w:val="7030A0"/>
        </w:rPr>
      </w:pPr>
      <w:r>
        <w:rPr>
          <w:rFonts w:cstheme="minorHAnsi"/>
          <w:b/>
          <w:bCs/>
          <w:color w:val="7030A0"/>
        </w:rPr>
        <w:t xml:space="preserve">What is the prognosis for dogs with </w:t>
      </w:r>
      <w:r w:rsidR="00602356" w:rsidRPr="0049232E">
        <w:rPr>
          <w:rFonts w:cstheme="minorHAnsi"/>
          <w:b/>
          <w:bCs/>
          <w:color w:val="7030A0"/>
          <w:szCs w:val="28"/>
        </w:rPr>
        <w:t>Chiari-like malformation and Syringomyelia</w:t>
      </w:r>
      <w:bookmarkStart w:id="0" w:name="_GoBack"/>
      <w:bookmarkEnd w:id="0"/>
      <w:r w:rsidRPr="000E5A68">
        <w:rPr>
          <w:rFonts w:cstheme="minorHAnsi"/>
          <w:b/>
          <w:bCs/>
          <w:color w:val="7030A0"/>
        </w:rPr>
        <w:t>?</w:t>
      </w:r>
    </w:p>
    <w:p w14:paraId="6C8F844F" w14:textId="7843220F" w:rsidR="00B87730" w:rsidRPr="00C81895" w:rsidRDefault="00C81895" w:rsidP="00922EF2">
      <w:pPr>
        <w:rPr>
          <w:rFonts w:cstheme="minorHAnsi"/>
          <w:sz w:val="20"/>
        </w:rPr>
      </w:pPr>
      <w:r w:rsidRPr="00C81895">
        <w:rPr>
          <w:rFonts w:cs="Arial"/>
          <w:sz w:val="20"/>
          <w:szCs w:val="20"/>
        </w:rPr>
        <w:t xml:space="preserve">The prognosis for dogs managed medically for syringomyelia is varied. Syringomyelia itself is rarely fatal, with euthanasia instead associated with uncontrolled pain. In a small case series of 14 dogs managed conservatively for neuropathic pain, 43% survived to be greater than 9 years of age. Euthanasia associated with uncontrolled pain is more likely in dogs with a wide syrinx and/or with dogs who present with first clinical signs </w:t>
      </w:r>
      <w:r>
        <w:rPr>
          <w:rFonts w:cs="Arial"/>
          <w:sz w:val="20"/>
          <w:szCs w:val="20"/>
        </w:rPr>
        <w:t>at young ages.</w:t>
      </w:r>
    </w:p>
    <w:sectPr w:rsidR="00B87730" w:rsidRPr="00C818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B75CF" w14:textId="77777777" w:rsidR="008E1574" w:rsidRDefault="008E1574" w:rsidP="000C37D4">
      <w:pPr>
        <w:spacing w:after="0" w:line="240" w:lineRule="auto"/>
      </w:pPr>
      <w:r>
        <w:separator/>
      </w:r>
    </w:p>
  </w:endnote>
  <w:endnote w:type="continuationSeparator" w:id="0">
    <w:p w14:paraId="2517EAD7" w14:textId="77777777" w:rsidR="008E1574" w:rsidRDefault="008E1574" w:rsidP="000C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95E20" w14:textId="77777777" w:rsidR="008E1574" w:rsidRDefault="008E1574" w:rsidP="000C37D4">
      <w:pPr>
        <w:spacing w:after="0" w:line="240" w:lineRule="auto"/>
      </w:pPr>
      <w:r>
        <w:separator/>
      </w:r>
    </w:p>
  </w:footnote>
  <w:footnote w:type="continuationSeparator" w:id="0">
    <w:p w14:paraId="1CBEB4A6" w14:textId="77777777" w:rsidR="008E1574" w:rsidRDefault="008E1574" w:rsidP="000C3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6"/>
    <w:multiLevelType w:val="hybridMultilevel"/>
    <w:tmpl w:val="523A0E30"/>
    <w:lvl w:ilvl="0" w:tplc="E38636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DA135B"/>
    <w:multiLevelType w:val="hybridMultilevel"/>
    <w:tmpl w:val="5942A01E"/>
    <w:lvl w:ilvl="0" w:tplc="582850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97458"/>
    <w:multiLevelType w:val="hybridMultilevel"/>
    <w:tmpl w:val="428C45D8"/>
    <w:lvl w:ilvl="0" w:tplc="08090001">
      <w:start w:val="1"/>
      <w:numFmt w:val="bullet"/>
      <w:lvlText w:val=""/>
      <w:lvlJc w:val="left"/>
      <w:pPr>
        <w:ind w:left="9120" w:hanging="360"/>
      </w:pPr>
      <w:rPr>
        <w:rFonts w:ascii="Symbol" w:hAnsi="Symbol" w:hint="default"/>
      </w:rPr>
    </w:lvl>
    <w:lvl w:ilvl="1" w:tplc="08090003" w:tentative="1">
      <w:start w:val="1"/>
      <w:numFmt w:val="bullet"/>
      <w:lvlText w:val="o"/>
      <w:lvlJc w:val="left"/>
      <w:pPr>
        <w:ind w:left="9840" w:hanging="360"/>
      </w:pPr>
      <w:rPr>
        <w:rFonts w:ascii="Courier New" w:hAnsi="Courier New" w:hint="default"/>
      </w:rPr>
    </w:lvl>
    <w:lvl w:ilvl="2" w:tplc="08090005" w:tentative="1">
      <w:start w:val="1"/>
      <w:numFmt w:val="bullet"/>
      <w:lvlText w:val=""/>
      <w:lvlJc w:val="left"/>
      <w:pPr>
        <w:ind w:left="10560" w:hanging="360"/>
      </w:pPr>
      <w:rPr>
        <w:rFonts w:ascii="Wingdings" w:hAnsi="Wingdings" w:hint="default"/>
      </w:rPr>
    </w:lvl>
    <w:lvl w:ilvl="3" w:tplc="08090001" w:tentative="1">
      <w:start w:val="1"/>
      <w:numFmt w:val="bullet"/>
      <w:lvlText w:val=""/>
      <w:lvlJc w:val="left"/>
      <w:pPr>
        <w:ind w:left="11280" w:hanging="360"/>
      </w:pPr>
      <w:rPr>
        <w:rFonts w:ascii="Symbol" w:hAnsi="Symbol" w:hint="default"/>
      </w:rPr>
    </w:lvl>
    <w:lvl w:ilvl="4" w:tplc="08090003" w:tentative="1">
      <w:start w:val="1"/>
      <w:numFmt w:val="bullet"/>
      <w:lvlText w:val="o"/>
      <w:lvlJc w:val="left"/>
      <w:pPr>
        <w:ind w:left="12000" w:hanging="360"/>
      </w:pPr>
      <w:rPr>
        <w:rFonts w:ascii="Courier New" w:hAnsi="Courier New" w:hint="default"/>
      </w:rPr>
    </w:lvl>
    <w:lvl w:ilvl="5" w:tplc="08090005" w:tentative="1">
      <w:start w:val="1"/>
      <w:numFmt w:val="bullet"/>
      <w:lvlText w:val=""/>
      <w:lvlJc w:val="left"/>
      <w:pPr>
        <w:ind w:left="12720" w:hanging="360"/>
      </w:pPr>
      <w:rPr>
        <w:rFonts w:ascii="Wingdings" w:hAnsi="Wingdings" w:hint="default"/>
      </w:rPr>
    </w:lvl>
    <w:lvl w:ilvl="6" w:tplc="08090001" w:tentative="1">
      <w:start w:val="1"/>
      <w:numFmt w:val="bullet"/>
      <w:lvlText w:val=""/>
      <w:lvlJc w:val="left"/>
      <w:pPr>
        <w:ind w:left="13440" w:hanging="360"/>
      </w:pPr>
      <w:rPr>
        <w:rFonts w:ascii="Symbol" w:hAnsi="Symbol" w:hint="default"/>
      </w:rPr>
    </w:lvl>
    <w:lvl w:ilvl="7" w:tplc="08090003" w:tentative="1">
      <w:start w:val="1"/>
      <w:numFmt w:val="bullet"/>
      <w:lvlText w:val="o"/>
      <w:lvlJc w:val="left"/>
      <w:pPr>
        <w:ind w:left="14160" w:hanging="360"/>
      </w:pPr>
      <w:rPr>
        <w:rFonts w:ascii="Courier New" w:hAnsi="Courier New" w:hint="default"/>
      </w:rPr>
    </w:lvl>
    <w:lvl w:ilvl="8" w:tplc="08090005" w:tentative="1">
      <w:start w:val="1"/>
      <w:numFmt w:val="bullet"/>
      <w:lvlText w:val=""/>
      <w:lvlJc w:val="left"/>
      <w:pPr>
        <w:ind w:left="14880" w:hanging="360"/>
      </w:pPr>
      <w:rPr>
        <w:rFonts w:ascii="Wingdings" w:hAnsi="Wingdings" w:hint="default"/>
      </w:rPr>
    </w:lvl>
  </w:abstractNum>
  <w:abstractNum w:abstractNumId="3" w15:restartNumberingAfterBreak="0">
    <w:nsid w:val="3382334A"/>
    <w:multiLevelType w:val="hybridMultilevel"/>
    <w:tmpl w:val="AC68C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382319"/>
    <w:multiLevelType w:val="hybridMultilevel"/>
    <w:tmpl w:val="58BC9E3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CE6620F"/>
    <w:multiLevelType w:val="hybridMultilevel"/>
    <w:tmpl w:val="5B367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026344E"/>
    <w:multiLevelType w:val="hybridMultilevel"/>
    <w:tmpl w:val="C928B3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F2"/>
    <w:rsid w:val="00006DA6"/>
    <w:rsid w:val="00096A37"/>
    <w:rsid w:val="000B6710"/>
    <w:rsid w:val="000C37D4"/>
    <w:rsid w:val="000E5A68"/>
    <w:rsid w:val="000E735A"/>
    <w:rsid w:val="00102F2F"/>
    <w:rsid w:val="00185A76"/>
    <w:rsid w:val="00194EAD"/>
    <w:rsid w:val="001A0109"/>
    <w:rsid w:val="001C5D88"/>
    <w:rsid w:val="001E257F"/>
    <w:rsid w:val="001E7C71"/>
    <w:rsid w:val="001F42F2"/>
    <w:rsid w:val="0021354B"/>
    <w:rsid w:val="00230C30"/>
    <w:rsid w:val="00236606"/>
    <w:rsid w:val="002379E6"/>
    <w:rsid w:val="00255F72"/>
    <w:rsid w:val="0027126A"/>
    <w:rsid w:val="002829EB"/>
    <w:rsid w:val="00297FCD"/>
    <w:rsid w:val="002D2C11"/>
    <w:rsid w:val="002F150D"/>
    <w:rsid w:val="002F6ADA"/>
    <w:rsid w:val="00370CF2"/>
    <w:rsid w:val="003E1426"/>
    <w:rsid w:val="003F6BFF"/>
    <w:rsid w:val="004225E4"/>
    <w:rsid w:val="004248E9"/>
    <w:rsid w:val="004366D7"/>
    <w:rsid w:val="004461EB"/>
    <w:rsid w:val="00455D95"/>
    <w:rsid w:val="004765BA"/>
    <w:rsid w:val="00486DE7"/>
    <w:rsid w:val="0049232E"/>
    <w:rsid w:val="004D2441"/>
    <w:rsid w:val="00523102"/>
    <w:rsid w:val="00557938"/>
    <w:rsid w:val="00571E96"/>
    <w:rsid w:val="00584242"/>
    <w:rsid w:val="005E4346"/>
    <w:rsid w:val="00602356"/>
    <w:rsid w:val="00604934"/>
    <w:rsid w:val="006D5DC2"/>
    <w:rsid w:val="00733E62"/>
    <w:rsid w:val="007F47CB"/>
    <w:rsid w:val="00800F2F"/>
    <w:rsid w:val="0080403C"/>
    <w:rsid w:val="00807A4C"/>
    <w:rsid w:val="008252E9"/>
    <w:rsid w:val="008525FB"/>
    <w:rsid w:val="00870230"/>
    <w:rsid w:val="00877267"/>
    <w:rsid w:val="008D4DB4"/>
    <w:rsid w:val="008D7A62"/>
    <w:rsid w:val="008E1574"/>
    <w:rsid w:val="00922EF2"/>
    <w:rsid w:val="00963178"/>
    <w:rsid w:val="009B3156"/>
    <w:rsid w:val="009D166F"/>
    <w:rsid w:val="00A00E63"/>
    <w:rsid w:val="00A3700B"/>
    <w:rsid w:val="00A445DE"/>
    <w:rsid w:val="00A50F2C"/>
    <w:rsid w:val="00A51F70"/>
    <w:rsid w:val="00A6444E"/>
    <w:rsid w:val="00AA49DF"/>
    <w:rsid w:val="00B24944"/>
    <w:rsid w:val="00B3281D"/>
    <w:rsid w:val="00B43845"/>
    <w:rsid w:val="00B84D17"/>
    <w:rsid w:val="00B87730"/>
    <w:rsid w:val="00B904FC"/>
    <w:rsid w:val="00B9450B"/>
    <w:rsid w:val="00B97C1E"/>
    <w:rsid w:val="00BA3D8D"/>
    <w:rsid w:val="00C312CF"/>
    <w:rsid w:val="00C664C1"/>
    <w:rsid w:val="00C71A60"/>
    <w:rsid w:val="00C81895"/>
    <w:rsid w:val="00CB595E"/>
    <w:rsid w:val="00CD4CE8"/>
    <w:rsid w:val="00D44014"/>
    <w:rsid w:val="00D86948"/>
    <w:rsid w:val="00DD3B8D"/>
    <w:rsid w:val="00E13352"/>
    <w:rsid w:val="00E5123F"/>
    <w:rsid w:val="00E72B4A"/>
    <w:rsid w:val="00EA24C6"/>
    <w:rsid w:val="00EF1586"/>
    <w:rsid w:val="00F003EE"/>
    <w:rsid w:val="00F46192"/>
    <w:rsid w:val="00F6279C"/>
    <w:rsid w:val="00F81C5C"/>
    <w:rsid w:val="00FA6A04"/>
    <w:rsid w:val="00FC4F46"/>
    <w:rsid w:val="00FD7C4F"/>
    <w:rsid w:val="00FE5D96"/>
    <w:rsid w:val="00FF5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8D836"/>
  <w15:chartTrackingRefBased/>
  <w15:docId w15:val="{2DC1DB4F-9CE1-42EB-ABA1-29AEDBBC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EF2"/>
    <w:pPr>
      <w:ind w:left="720"/>
      <w:contextualSpacing/>
    </w:pPr>
  </w:style>
  <w:style w:type="character" w:styleId="Hyperlink">
    <w:name w:val="Hyperlink"/>
    <w:basedOn w:val="DefaultParagraphFont"/>
    <w:uiPriority w:val="99"/>
    <w:unhideWhenUsed/>
    <w:rsid w:val="00F003EE"/>
    <w:rPr>
      <w:color w:val="0000FF"/>
      <w:u w:val="single"/>
    </w:rPr>
  </w:style>
  <w:style w:type="character" w:customStyle="1" w:styleId="marknc98nelg2">
    <w:name w:val="marknc98nelg2"/>
    <w:rsid w:val="00F003EE"/>
  </w:style>
  <w:style w:type="character" w:customStyle="1" w:styleId="UnresolvedMention">
    <w:name w:val="Unresolved Mention"/>
    <w:basedOn w:val="DefaultParagraphFont"/>
    <w:uiPriority w:val="99"/>
    <w:semiHidden/>
    <w:unhideWhenUsed/>
    <w:rsid w:val="002D2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A726E2911D242AE15424914103A0E" ma:contentTypeVersion="15" ma:contentTypeDescription="Create a new document." ma:contentTypeScope="" ma:versionID="f95bcb732f14c75e8552e45fdf34ff7f">
  <xsd:schema xmlns:xsd="http://www.w3.org/2001/XMLSchema" xmlns:xs="http://www.w3.org/2001/XMLSchema" xmlns:p="http://schemas.microsoft.com/office/2006/metadata/properties" xmlns:ns2="bfa77bdc-52be-400d-b652-c38280cbf726" xmlns:ns3="4dc85b67-40c5-4a67-b1ad-d47a7dd75769" targetNamespace="http://schemas.microsoft.com/office/2006/metadata/properties" ma:root="true" ma:fieldsID="d0a9989ef678d5e1db7cebf20237506a" ns2:_="" ns3:_="">
    <xsd:import namespace="bfa77bdc-52be-400d-b652-c38280cbf726"/>
    <xsd:import namespace="4dc85b67-40c5-4a67-b1ad-d47a7dd757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bdc-52be-400d-b652-c38280cbf7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37dd54e-fc8a-49ad-98bc-f64d3063feca}" ma:internalName="TaxCatchAll" ma:showField="CatchAllData" ma:web="bfa77bdc-52be-400d-b652-c38280cbf7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c85b67-40c5-4a67-b1ad-d47a7dd757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c134f1-eff0-42f2-b405-5e4821d110b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c85b67-40c5-4a67-b1ad-d47a7dd75769">
      <Terms xmlns="http://schemas.microsoft.com/office/infopath/2007/PartnerControls"/>
    </lcf76f155ced4ddcb4097134ff3c332f>
    <TaxCatchAll xmlns="bfa77bdc-52be-400d-b652-c38280cbf7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55203-E521-44CC-9AD4-E12D20E8F3E7}"/>
</file>

<file path=customXml/itemProps2.xml><?xml version="1.0" encoding="utf-8"?>
<ds:datastoreItem xmlns:ds="http://schemas.openxmlformats.org/officeDocument/2006/customXml" ds:itemID="{97D4EB7A-2676-4142-8747-F07145083DA0}">
  <ds:schemaRefs>
    <ds:schemaRef ds:uri="http://schemas.microsoft.com/office/2006/metadata/properties"/>
    <ds:schemaRef ds:uri="http://schemas.microsoft.com/office/infopath/2007/PartnerControls"/>
    <ds:schemaRef ds:uri="d532d795-2ef7-4ec2-853c-947ea55cbf3b"/>
    <ds:schemaRef ds:uri="edb9d0e4-5370-4cfb-9e4e-bdf6de379f60"/>
  </ds:schemaRefs>
</ds:datastoreItem>
</file>

<file path=customXml/itemProps3.xml><?xml version="1.0" encoding="utf-8"?>
<ds:datastoreItem xmlns:ds="http://schemas.openxmlformats.org/officeDocument/2006/customXml" ds:itemID="{7A514E70-4109-4824-B093-C2B1E160F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Alison Pearce (Eastcott)</cp:lastModifiedBy>
  <cp:revision>3</cp:revision>
  <dcterms:created xsi:type="dcterms:W3CDTF">2024-05-16T16:55:00Z</dcterms:created>
  <dcterms:modified xsi:type="dcterms:W3CDTF">2024-05-16T16:57:00Z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0x010100A0AA726E2911D242AE15424914103A0E</vt:lpwstr>
  </property>
</Properties>
</file>